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b/>
          <w:bCs/>
          <w:kern w:val="0"/>
          <w:sz w:val="18"/>
          <w:szCs w:val="18"/>
          <w:shd w:val="clear" w:color="auto" w:fill="FFFFFF"/>
        </w:rPr>
        <w:t>【事项名称】</w:t>
      </w:r>
      <w:r w:rsidRPr="00111A18">
        <w:rPr>
          <w:rFonts w:ascii="宋体" w:eastAsia="宋体" w:hAnsi="宋体" w:cs="宋体" w:hint="eastAsia"/>
          <w:kern w:val="0"/>
          <w:sz w:val="18"/>
          <w:szCs w:val="18"/>
          <w:shd w:val="clear" w:color="auto" w:fill="FFFFFF"/>
        </w:rPr>
        <w:t>年度进料加工业务核销</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b/>
          <w:bCs/>
          <w:kern w:val="0"/>
          <w:sz w:val="18"/>
          <w:szCs w:val="18"/>
          <w:shd w:val="clear" w:color="auto" w:fill="FFFFFF"/>
        </w:rPr>
        <w:t>【事项描述】</w:t>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生产企业应在本年度4月20日前，按规定向主管税务机关申请办理上年度海关已核销的进料加工手（账）册项下的进料加工业务核销手续。</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b/>
          <w:bCs/>
          <w:kern w:val="0"/>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249"/>
        <w:gridCol w:w="3004"/>
        <w:gridCol w:w="708"/>
        <w:gridCol w:w="2268"/>
      </w:tblGrid>
      <w:tr w:rsidR="00111A18" w:rsidRPr="00111A18" w:rsidTr="00111A18">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11A18" w:rsidRPr="00111A18" w:rsidRDefault="00111A18" w:rsidP="00111A18">
            <w:pPr>
              <w:widowControl/>
              <w:spacing w:line="75" w:lineRule="atLeast"/>
              <w:jc w:val="center"/>
              <w:rPr>
                <w:rFonts w:ascii="宋体" w:eastAsia="宋体" w:hAnsi="宋体" w:cs="宋体"/>
                <w:kern w:val="0"/>
                <w:sz w:val="24"/>
                <w:szCs w:val="24"/>
              </w:rPr>
            </w:pPr>
            <w:r w:rsidRPr="00111A18">
              <w:rPr>
                <w:rFonts w:ascii="宋体" w:eastAsia="宋体" w:hAnsi="宋体" w:cs="宋体" w:hint="eastAsia"/>
                <w:kern w:val="0"/>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111A18" w:rsidRPr="00111A18" w:rsidRDefault="00111A18" w:rsidP="00111A18">
            <w:pPr>
              <w:widowControl/>
              <w:spacing w:line="75" w:lineRule="atLeast"/>
              <w:jc w:val="center"/>
              <w:rPr>
                <w:rFonts w:ascii="宋体" w:eastAsia="宋体" w:hAnsi="宋体" w:cs="宋体"/>
                <w:kern w:val="0"/>
                <w:sz w:val="24"/>
                <w:szCs w:val="24"/>
              </w:rPr>
            </w:pPr>
            <w:r w:rsidRPr="00111A18">
              <w:rPr>
                <w:rFonts w:ascii="宋体" w:eastAsia="宋体" w:hAnsi="宋体" w:cs="宋体" w:hint="eastAsia"/>
                <w:kern w:val="0"/>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111A18" w:rsidRPr="00111A18" w:rsidRDefault="00111A18" w:rsidP="00111A18">
            <w:pPr>
              <w:widowControl/>
              <w:spacing w:line="75" w:lineRule="atLeast"/>
              <w:jc w:val="center"/>
              <w:rPr>
                <w:rFonts w:ascii="宋体" w:eastAsia="宋体" w:hAnsi="宋体" w:cs="宋体"/>
                <w:kern w:val="0"/>
                <w:sz w:val="24"/>
                <w:szCs w:val="24"/>
              </w:rPr>
            </w:pPr>
            <w:r w:rsidRPr="00111A18">
              <w:rPr>
                <w:rFonts w:ascii="宋体" w:eastAsia="宋体" w:hAnsi="宋体" w:cs="宋体" w:hint="eastAsia"/>
                <w:kern w:val="0"/>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111A18" w:rsidRPr="00111A18" w:rsidRDefault="00111A18" w:rsidP="00111A18">
            <w:pPr>
              <w:widowControl/>
              <w:spacing w:line="75" w:lineRule="atLeast"/>
              <w:jc w:val="center"/>
              <w:rPr>
                <w:rFonts w:ascii="宋体" w:eastAsia="宋体" w:hAnsi="宋体" w:cs="宋体"/>
                <w:kern w:val="0"/>
                <w:sz w:val="24"/>
                <w:szCs w:val="24"/>
              </w:rPr>
            </w:pPr>
            <w:r w:rsidRPr="00111A18">
              <w:rPr>
                <w:rFonts w:ascii="宋体" w:eastAsia="宋体" w:hAnsi="宋体" w:cs="宋体" w:hint="eastAsia"/>
                <w:kern w:val="0"/>
                <w:sz w:val="18"/>
                <w:szCs w:val="18"/>
              </w:rPr>
              <w:t>备注</w:t>
            </w:r>
          </w:p>
        </w:tc>
      </w:tr>
      <w:tr w:rsidR="00111A18" w:rsidRPr="00111A18" w:rsidTr="00111A18">
        <w:trPr>
          <w:trHeight w:val="101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11A18" w:rsidRPr="00111A18" w:rsidRDefault="00111A18" w:rsidP="00111A18">
            <w:pPr>
              <w:widowControl/>
              <w:spacing w:line="75" w:lineRule="atLeast"/>
              <w:jc w:val="center"/>
              <w:rPr>
                <w:rFonts w:ascii="宋体" w:eastAsia="宋体" w:hAnsi="宋体" w:cs="宋体"/>
                <w:kern w:val="0"/>
                <w:sz w:val="24"/>
                <w:szCs w:val="24"/>
              </w:rPr>
            </w:pPr>
            <w:r w:rsidRPr="00111A18">
              <w:rPr>
                <w:rFonts w:ascii="宋体" w:eastAsia="宋体" w:hAnsi="宋体" w:cs="宋体" w:hint="eastAsia"/>
                <w:kern w:val="0"/>
                <w:sz w:val="18"/>
                <w:szCs w:val="18"/>
              </w:rPr>
              <w:t>1</w:t>
            </w:r>
          </w:p>
        </w:tc>
        <w:tc>
          <w:tcPr>
            <w:tcW w:w="4253" w:type="dxa"/>
            <w:gridSpan w:val="2"/>
            <w:tcBorders>
              <w:top w:val="single" w:sz="4" w:space="0" w:color="auto"/>
              <w:left w:val="nil"/>
              <w:bottom w:val="single" w:sz="4" w:space="0" w:color="auto"/>
              <w:right w:val="single" w:sz="4" w:space="0" w:color="auto"/>
            </w:tcBorders>
            <w:vAlign w:val="center"/>
            <w:hideMark/>
          </w:tcPr>
          <w:p w:rsidR="00111A18" w:rsidRPr="00111A18" w:rsidRDefault="00111A18" w:rsidP="00111A18">
            <w:pPr>
              <w:widowControl/>
              <w:spacing w:line="75" w:lineRule="atLeast"/>
              <w:jc w:val="left"/>
              <w:rPr>
                <w:rFonts w:ascii="宋体" w:eastAsia="宋体" w:hAnsi="宋体" w:cs="宋体"/>
                <w:kern w:val="0"/>
                <w:sz w:val="24"/>
                <w:szCs w:val="24"/>
              </w:rPr>
            </w:pPr>
            <w:r w:rsidRPr="00111A18">
              <w:rPr>
                <w:rFonts w:ascii="宋体" w:eastAsia="宋体" w:hAnsi="宋体" w:cs="宋体" w:hint="eastAsia"/>
                <w:kern w:val="0"/>
                <w:sz w:val="18"/>
                <w:szCs w:val="18"/>
              </w:rPr>
              <w:t>《生产企业进料加工业务免抵退税核销表》及电子数据</w:t>
            </w:r>
          </w:p>
        </w:tc>
        <w:tc>
          <w:tcPr>
            <w:tcW w:w="708" w:type="dxa"/>
            <w:tcBorders>
              <w:top w:val="single" w:sz="4" w:space="0" w:color="auto"/>
              <w:left w:val="nil"/>
              <w:bottom w:val="single" w:sz="4" w:space="0" w:color="auto"/>
              <w:right w:val="single" w:sz="4" w:space="0" w:color="auto"/>
            </w:tcBorders>
            <w:vAlign w:val="center"/>
            <w:hideMark/>
          </w:tcPr>
          <w:p w:rsidR="00111A18" w:rsidRPr="00111A18" w:rsidRDefault="00111A18" w:rsidP="00111A18">
            <w:pPr>
              <w:widowControl/>
              <w:spacing w:line="75" w:lineRule="atLeast"/>
              <w:jc w:val="center"/>
              <w:rPr>
                <w:rFonts w:ascii="宋体" w:eastAsia="宋体" w:hAnsi="宋体" w:cs="宋体"/>
                <w:kern w:val="0"/>
                <w:sz w:val="24"/>
                <w:szCs w:val="24"/>
              </w:rPr>
            </w:pPr>
            <w:r w:rsidRPr="00111A18">
              <w:rPr>
                <w:rFonts w:ascii="宋体" w:eastAsia="宋体" w:hAnsi="宋体" w:cs="宋体" w:hint="eastAsia"/>
                <w:kern w:val="0"/>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111A18" w:rsidRPr="00111A18" w:rsidRDefault="00111A18" w:rsidP="00111A18">
            <w:pPr>
              <w:widowControl/>
              <w:spacing w:line="75" w:lineRule="atLeast"/>
              <w:jc w:val="left"/>
              <w:rPr>
                <w:rFonts w:ascii="宋体" w:eastAsia="宋体" w:hAnsi="宋体" w:cs="宋体"/>
                <w:kern w:val="0"/>
                <w:sz w:val="24"/>
                <w:szCs w:val="24"/>
              </w:rPr>
            </w:pPr>
            <w:r w:rsidRPr="00111A18">
              <w:rPr>
                <w:rFonts w:ascii="宋体" w:eastAsia="宋体" w:hAnsi="宋体" w:cs="宋体" w:hint="eastAsia"/>
                <w:kern w:val="0"/>
                <w:sz w:val="18"/>
                <w:szCs w:val="18"/>
              </w:rPr>
              <w:t>电子数据1份</w:t>
            </w:r>
          </w:p>
        </w:tc>
      </w:tr>
      <w:tr w:rsidR="00111A18" w:rsidRPr="00111A18" w:rsidTr="00111A18">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111A18" w:rsidRPr="00111A18" w:rsidRDefault="00111A18" w:rsidP="00111A18">
            <w:pPr>
              <w:widowControl/>
              <w:spacing w:line="75" w:lineRule="atLeast"/>
              <w:jc w:val="center"/>
              <w:rPr>
                <w:rFonts w:ascii="宋体" w:eastAsia="宋体" w:hAnsi="宋体" w:cs="宋体"/>
                <w:kern w:val="0"/>
                <w:sz w:val="24"/>
                <w:szCs w:val="24"/>
              </w:rPr>
            </w:pPr>
            <w:r w:rsidRPr="00111A18">
              <w:rPr>
                <w:rFonts w:ascii="宋体" w:eastAsia="宋体" w:hAnsi="宋体" w:cs="宋体" w:hint="eastAsia"/>
                <w:kern w:val="0"/>
                <w:sz w:val="18"/>
                <w:szCs w:val="18"/>
              </w:rPr>
              <w:t>以下为条件报送资料</w:t>
            </w:r>
          </w:p>
        </w:tc>
      </w:tr>
      <w:tr w:rsidR="00111A18" w:rsidRPr="00111A18" w:rsidTr="00111A18">
        <w:trPr>
          <w:trHeight w:val="1463"/>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111A18" w:rsidRPr="00111A18" w:rsidRDefault="00111A18" w:rsidP="00111A18">
            <w:pPr>
              <w:widowControl/>
              <w:spacing w:line="75" w:lineRule="atLeast"/>
              <w:jc w:val="left"/>
              <w:rPr>
                <w:rFonts w:ascii="宋体" w:eastAsia="宋体" w:hAnsi="宋体" w:cs="宋体"/>
                <w:kern w:val="0"/>
                <w:sz w:val="24"/>
                <w:szCs w:val="24"/>
              </w:rPr>
            </w:pPr>
            <w:r w:rsidRPr="00111A18">
              <w:rPr>
                <w:rFonts w:ascii="宋体" w:eastAsia="宋体" w:hAnsi="宋体" w:cs="宋体" w:hint="eastAsia"/>
                <w:kern w:val="0"/>
                <w:sz w:val="18"/>
                <w:szCs w:val="18"/>
              </w:rPr>
              <w:t>企业实际业务与税务机关反馈数据不一致的还需报送</w:t>
            </w:r>
          </w:p>
        </w:tc>
        <w:tc>
          <w:tcPr>
            <w:tcW w:w="3004" w:type="dxa"/>
            <w:tcBorders>
              <w:top w:val="single" w:sz="4" w:space="0" w:color="auto"/>
              <w:left w:val="nil"/>
              <w:bottom w:val="single" w:sz="4" w:space="0" w:color="auto"/>
              <w:right w:val="single" w:sz="4" w:space="0" w:color="auto"/>
            </w:tcBorders>
            <w:vAlign w:val="center"/>
            <w:hideMark/>
          </w:tcPr>
          <w:p w:rsidR="00111A18" w:rsidRPr="00111A18" w:rsidRDefault="00111A18" w:rsidP="00111A18">
            <w:pPr>
              <w:widowControl/>
              <w:spacing w:line="75" w:lineRule="atLeast"/>
              <w:jc w:val="left"/>
              <w:rPr>
                <w:rFonts w:ascii="宋体" w:eastAsia="宋体" w:hAnsi="宋体" w:cs="宋体"/>
                <w:kern w:val="0"/>
                <w:sz w:val="24"/>
                <w:szCs w:val="24"/>
              </w:rPr>
            </w:pPr>
            <w:r w:rsidRPr="00111A18">
              <w:rPr>
                <w:rFonts w:ascii="宋体" w:eastAsia="宋体" w:hAnsi="宋体" w:cs="宋体" w:hint="eastAsia"/>
                <w:kern w:val="0"/>
                <w:sz w:val="18"/>
                <w:szCs w:val="18"/>
              </w:rPr>
              <w:t>《已核销手册（账册）海关数据调整表》及电子数据、证明材料</w:t>
            </w:r>
          </w:p>
        </w:tc>
        <w:tc>
          <w:tcPr>
            <w:tcW w:w="708" w:type="dxa"/>
            <w:tcBorders>
              <w:top w:val="single" w:sz="4" w:space="0" w:color="auto"/>
              <w:left w:val="nil"/>
              <w:bottom w:val="single" w:sz="4" w:space="0" w:color="auto"/>
              <w:right w:val="single" w:sz="4" w:space="0" w:color="auto"/>
            </w:tcBorders>
            <w:vAlign w:val="center"/>
            <w:hideMark/>
          </w:tcPr>
          <w:p w:rsidR="00111A18" w:rsidRPr="00111A18" w:rsidRDefault="00111A18" w:rsidP="00111A18">
            <w:pPr>
              <w:widowControl/>
              <w:spacing w:line="75" w:lineRule="atLeast"/>
              <w:jc w:val="center"/>
              <w:rPr>
                <w:rFonts w:ascii="宋体" w:eastAsia="宋体" w:hAnsi="宋体" w:cs="宋体"/>
                <w:kern w:val="0"/>
                <w:sz w:val="24"/>
                <w:szCs w:val="24"/>
              </w:rPr>
            </w:pPr>
            <w:r w:rsidRPr="00111A18">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111A18" w:rsidRPr="00111A18" w:rsidRDefault="00111A18" w:rsidP="00111A18">
            <w:pPr>
              <w:widowControl/>
              <w:spacing w:line="75" w:lineRule="atLeast"/>
              <w:jc w:val="left"/>
              <w:rPr>
                <w:rFonts w:ascii="宋体" w:eastAsia="宋体" w:hAnsi="宋体" w:cs="宋体"/>
                <w:kern w:val="0"/>
                <w:sz w:val="24"/>
                <w:szCs w:val="24"/>
              </w:rPr>
            </w:pPr>
            <w:r w:rsidRPr="00111A18">
              <w:rPr>
                <w:rFonts w:ascii="宋体" w:eastAsia="宋体" w:hAnsi="宋体" w:cs="宋体" w:hint="eastAsia"/>
                <w:kern w:val="0"/>
                <w:sz w:val="18"/>
                <w:szCs w:val="18"/>
              </w:rPr>
              <w:t> </w:t>
            </w:r>
          </w:p>
        </w:tc>
      </w:tr>
    </w:tbl>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b/>
          <w:bCs/>
          <w:kern w:val="0"/>
          <w:sz w:val="18"/>
          <w:szCs w:val="18"/>
          <w:shd w:val="clear" w:color="auto" w:fill="FFFFFF"/>
        </w:rPr>
        <w:t>【办理渠道】</w:t>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主管税务机关办税服务厅。</w:t>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b/>
          <w:bCs/>
          <w:sz w:val="18"/>
          <w:szCs w:val="18"/>
          <w:shd w:val="clear" w:color="auto" w:fill="FFFFFF"/>
        </w:rPr>
        <w:t>【办理流程】</w:t>
      </w:r>
    </w:p>
    <w:p w:rsidR="00111A18" w:rsidRPr="00111A18" w:rsidRDefault="00111A18" w:rsidP="00111A18">
      <w:pPr>
        <w:widowControl/>
        <w:shd w:val="clear" w:color="auto" w:fill="FFFFFF"/>
        <w:adjustRightInd w:val="0"/>
        <w:spacing w:line="75" w:lineRule="atLeast"/>
        <w:jc w:val="left"/>
        <w:rPr>
          <w:rFonts w:ascii="宋体" w:eastAsia="宋体" w:hAnsi="宋体" w:cs="宋体"/>
          <w:kern w:val="0"/>
          <w:sz w:val="24"/>
          <w:szCs w:val="24"/>
        </w:rPr>
      </w:pPr>
      <w:r w:rsidRPr="00111A18">
        <w:rPr>
          <w:rFonts w:ascii="宋体" w:eastAsia="宋体" w:hAnsi="宋体" w:cs="宋体" w:hint="eastAsia"/>
          <w:kern w:val="0"/>
          <w:sz w:val="18"/>
          <w:szCs w:val="18"/>
          <w:shd w:val="clear" w:color="auto" w:fill="FFFFFF"/>
        </w:rPr>
        <w:t xml:space="preserve"> </w:t>
      </w:r>
      <w:r>
        <w:rPr>
          <w:rFonts w:ascii="宋体" w:eastAsia="宋体" w:hAnsi="宋体" w:cs="宋体"/>
          <w:noProof/>
          <w:kern w:val="0"/>
          <w:sz w:val="18"/>
          <w:szCs w:val="18"/>
          <w:shd w:val="clear" w:color="auto" w:fill="FFFFFF"/>
        </w:rPr>
        <w:drawing>
          <wp:inline distT="0" distB="0" distL="0" distR="0">
            <wp:extent cx="3933825" cy="2276475"/>
            <wp:effectExtent l="19050" t="0" r="9525" b="0"/>
            <wp:docPr id="7" name="图片 7" descr="https://etax.guangxi.chinatax.gov.cn:9727/web/uploadfile/editor/15679088490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tax.guangxi.chinatax.gov.cn:9727/web/uploadfile/editor/1567908849045.jpg"/>
                    <pic:cNvPicPr>
                      <a:picLocks noChangeAspect="1" noChangeArrowheads="1"/>
                    </pic:cNvPicPr>
                  </pic:nvPicPr>
                  <pic:blipFill>
                    <a:blip r:embed="rId4" cstate="print"/>
                    <a:srcRect/>
                    <a:stretch>
                      <a:fillRect/>
                    </a:stretch>
                  </pic:blipFill>
                  <pic:spPr bwMode="auto">
                    <a:xfrm>
                      <a:off x="0" y="0"/>
                      <a:ext cx="3933825" cy="2276475"/>
                    </a:xfrm>
                    <a:prstGeom prst="rect">
                      <a:avLst/>
                    </a:prstGeom>
                    <a:noFill/>
                    <a:ln w="9525">
                      <a:noFill/>
                      <a:miter lim="800000"/>
                      <a:headEnd/>
                      <a:tailEnd/>
                    </a:ln>
                  </pic:spPr>
                </pic:pic>
              </a:graphicData>
            </a:graphic>
          </wp:inline>
        </w:drawing>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 xml:space="preserve"> </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b/>
          <w:bCs/>
          <w:sz w:val="18"/>
          <w:szCs w:val="18"/>
        </w:rPr>
        <w:t xml:space="preserve">【办理时间】 </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sz w:val="18"/>
          <w:szCs w:val="18"/>
        </w:rPr>
        <w:lastRenderedPageBreak/>
        <w:t>工作时间，具体可在国家税务总局广西壮族自治区税务局门户网站查询，或拨打12366查询。</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b/>
          <w:bCs/>
          <w:kern w:val="0"/>
          <w:sz w:val="18"/>
          <w:szCs w:val="18"/>
          <w:shd w:val="clear" w:color="auto" w:fill="FFFFFF"/>
        </w:rPr>
        <w:t>【办理时限】</w:t>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资料齐全、符合法定形式、填写内容完整的，税务机关应自受理之日起20个工作日内办结。</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b/>
          <w:bCs/>
          <w:kern w:val="0"/>
          <w:sz w:val="18"/>
          <w:szCs w:val="18"/>
          <w:shd w:val="clear" w:color="auto" w:fill="FFFFFF"/>
        </w:rPr>
        <w:t>【办理结果】</w:t>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税务机关反馈电子数据。</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b/>
          <w:bCs/>
          <w:sz w:val="18"/>
          <w:szCs w:val="18"/>
        </w:rPr>
        <w:t>【联系电话】</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sz w:val="18"/>
          <w:szCs w:val="18"/>
        </w:rPr>
        <w:t>联系电话可在国家税务总局广西壮族自治区税务局门户网站查询，或拨打12366查询。</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b/>
          <w:bCs/>
          <w:kern w:val="0"/>
          <w:sz w:val="18"/>
          <w:szCs w:val="18"/>
          <w:shd w:val="clear" w:color="auto" w:fill="FFFFFF"/>
        </w:rPr>
        <w:t>【纳税人注意事项】</w:t>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1．纳税人对报送材料的真实性和合法性承担责任。</w:t>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2．生产企业申请核销前，应从主管税务机关获取海关联网监管加工贸易电子数据中的进料加工“电子账册（电子化手册）核销数据”以及进料加工业务的进口和出口货物报关单数据。</w:t>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生产企业将获取的反馈数据与进料加工手册（账册）实际发生的进口和出口情况核对后，填报《生产企业进料加工业务免抵退税核销表》向主管税务机关申请核销。如果核对发现，实际业务与反馈数据不一致的，生产企业还应填写《已核销手册（账册）海关数据调整表》连同电子数据和证明材料一并报送主管税务机关。</w:t>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3．生产企业发行核销数据有误的，应在发行次月按照有关规定向主管税务机关重新办理核销手续。</w:t>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4．生产企业申请核销后，主管税务机关不再受理其上一年度进料加工出口货物的免抵退税申报。4月20日之后仍未申请核销的，该企业的出口退（免）税业务，主管税务机关暂不办理，待其申请核销后，方可办理。</w:t>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生产企业应以主管税务机关确认核销后的《生产企业进料加工业务免抵退税核销表》中的“已核销手册（账册）综合实际分配率”，作为当年度进料加工计划分配率。同时，应在核销确认的次月，根据《生产企业进料加工业务免抵退税核销表》确认的不得免征和抵扣税额在纳税申报时申报调整；应在确认核销后的首次</w:t>
      </w:r>
      <w:r w:rsidRPr="00111A18">
        <w:rPr>
          <w:rFonts w:ascii="宋体" w:eastAsia="宋体" w:hAnsi="宋体" w:cs="宋体" w:hint="eastAsia"/>
          <w:sz w:val="18"/>
          <w:szCs w:val="18"/>
          <w:shd w:val="clear" w:color="auto" w:fill="FFFFFF"/>
        </w:rPr>
        <w:lastRenderedPageBreak/>
        <w:t>免抵退税申报时，根据《生产企业进料加工业务免抵退税核销表》确认的调整免抵退税额申报调整当期免抵退税额。</w:t>
      </w:r>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5. 办税服务厅地址、电子税务局网址，可在广西壮族自治区税务局门户网站或拨打12366查询。</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bookmarkStart w:id="0" w:name="falv"/>
      <w:r w:rsidRPr="00111A18">
        <w:rPr>
          <w:rFonts w:ascii="宋体" w:eastAsia="宋体" w:hAnsi="宋体" w:cs="宋体" w:hint="eastAsia"/>
          <w:b/>
          <w:bCs/>
          <w:kern w:val="0"/>
          <w:sz w:val="18"/>
          <w:szCs w:val="18"/>
          <w:shd w:val="clear" w:color="auto" w:fill="FFFFFF"/>
        </w:rPr>
        <w:t>【政策依据】</w:t>
      </w:r>
      <w:bookmarkEnd w:id="0"/>
    </w:p>
    <w:p w:rsidR="00111A18" w:rsidRPr="00111A18" w:rsidRDefault="00111A18" w:rsidP="00111A18">
      <w:pPr>
        <w:widowControl/>
        <w:shd w:val="clear" w:color="auto" w:fill="FFFFFF"/>
        <w:spacing w:before="270" w:after="240" w:line="432" w:lineRule="auto"/>
        <w:jc w:val="left"/>
        <w:rPr>
          <w:rFonts w:ascii="����" w:eastAsia="宋体" w:hAnsi="����" w:cs="宋体"/>
          <w:kern w:val="0"/>
          <w:szCs w:val="21"/>
        </w:rPr>
      </w:pPr>
      <w:r w:rsidRPr="00111A18">
        <w:rPr>
          <w:rFonts w:ascii="宋体" w:eastAsia="宋体" w:hAnsi="宋体" w:cs="宋体" w:hint="eastAsia"/>
          <w:sz w:val="18"/>
          <w:szCs w:val="18"/>
          <w:shd w:val="clear" w:color="auto" w:fill="FFFFFF"/>
        </w:rPr>
        <w:t>1．《国家税务总局关于出口退（免）税有关问题的公告》（国家税务总局公告2018年第16号）</w:t>
      </w:r>
    </w:p>
    <w:p w:rsidR="00111A18" w:rsidRPr="00111A18" w:rsidRDefault="00111A18" w:rsidP="00111A18">
      <w:pPr>
        <w:shd w:val="clear" w:color="auto" w:fill="FFFFFF"/>
        <w:spacing w:before="100" w:beforeAutospacing="1" w:after="100" w:afterAutospacing="1" w:line="432" w:lineRule="auto"/>
        <w:jc w:val="left"/>
        <w:rPr>
          <w:rFonts w:ascii="����" w:eastAsia="宋体" w:hAnsi="����" w:cs="宋体"/>
          <w:kern w:val="0"/>
          <w:szCs w:val="21"/>
        </w:rPr>
      </w:pPr>
      <w:r w:rsidRPr="00111A18">
        <w:rPr>
          <w:rFonts w:ascii="宋体" w:eastAsia="宋体" w:hAnsi="宋体" w:cs="宋体" w:hint="eastAsia"/>
          <w:vanish/>
          <w:sz w:val="18"/>
          <w:szCs w:val="18"/>
        </w:rPr>
        <w:t>窗体底端</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vanish/>
          <w:sz w:val="18"/>
          <w:szCs w:val="18"/>
        </w:rPr>
        <w:t xml:space="preserve"> </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b/>
          <w:bCs/>
          <w:sz w:val="18"/>
          <w:szCs w:val="18"/>
        </w:rPr>
        <w:t>【收费标准】</w:t>
      </w:r>
    </w:p>
    <w:p w:rsidR="00111A18" w:rsidRPr="00111A18" w:rsidRDefault="00111A18" w:rsidP="00111A18">
      <w:pPr>
        <w:widowControl/>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sz w:val="18"/>
          <w:szCs w:val="18"/>
        </w:rPr>
        <w:t>无收费</w:t>
      </w:r>
    </w:p>
    <w:p w:rsidR="00111A18" w:rsidRPr="00111A18" w:rsidRDefault="00111A18" w:rsidP="00111A18">
      <w:pPr>
        <w:shd w:val="clear" w:color="auto" w:fill="FFFFFF"/>
        <w:spacing w:line="75" w:lineRule="atLeast"/>
        <w:jc w:val="left"/>
        <w:rPr>
          <w:rFonts w:ascii="宋体" w:eastAsia="宋体" w:hAnsi="宋体" w:cs="宋体"/>
          <w:kern w:val="0"/>
          <w:sz w:val="24"/>
          <w:szCs w:val="24"/>
        </w:rPr>
      </w:pPr>
      <w:r w:rsidRPr="00111A18">
        <w:rPr>
          <w:rFonts w:ascii="宋体" w:eastAsia="宋体" w:hAnsi="宋体" w:cs="宋体" w:hint="eastAsia"/>
          <w:sz w:val="18"/>
          <w:szCs w:val="18"/>
        </w:rPr>
        <w:t xml:space="preserve"> </w:t>
      </w:r>
    </w:p>
    <w:p w:rsidR="00676A29" w:rsidRPr="00111A18" w:rsidRDefault="00111A18" w:rsidP="00111A18"/>
    <w:sectPr w:rsidR="00676A29" w:rsidRPr="00111A18" w:rsidSect="004D2A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D42F3"/>
    <w:rsid w:val="00111A18"/>
    <w:rsid w:val="00351409"/>
    <w:rsid w:val="004D2A74"/>
    <w:rsid w:val="0069768C"/>
    <w:rsid w:val="00720A87"/>
    <w:rsid w:val="009D42F3"/>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A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9D42F3"/>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9D42F3"/>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9D42F3"/>
    <w:rPr>
      <w:sz w:val="18"/>
      <w:szCs w:val="18"/>
    </w:rPr>
  </w:style>
  <w:style w:type="character" w:customStyle="1" w:styleId="Char">
    <w:name w:val="批注框文本 Char"/>
    <w:basedOn w:val="a0"/>
    <w:link w:val="a3"/>
    <w:uiPriority w:val="99"/>
    <w:semiHidden/>
    <w:rsid w:val="009D42F3"/>
    <w:rPr>
      <w:sz w:val="18"/>
      <w:szCs w:val="18"/>
    </w:rPr>
  </w:style>
  <w:style w:type="paragraph" w:customStyle="1" w:styleId="15">
    <w:name w:val="15"/>
    <w:basedOn w:val="a"/>
    <w:rsid w:val="00111A1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35654069">
      <w:bodyDiv w:val="1"/>
      <w:marLeft w:val="0"/>
      <w:marRight w:val="0"/>
      <w:marTop w:val="0"/>
      <w:marBottom w:val="0"/>
      <w:divBdr>
        <w:top w:val="none" w:sz="0" w:space="0" w:color="auto"/>
        <w:left w:val="none" w:sz="0" w:space="0" w:color="auto"/>
        <w:bottom w:val="none" w:sz="0" w:space="0" w:color="auto"/>
        <w:right w:val="none" w:sz="0" w:space="0" w:color="auto"/>
      </w:divBdr>
      <w:divsChild>
        <w:div w:id="110175012">
          <w:marLeft w:val="0"/>
          <w:marRight w:val="0"/>
          <w:marTop w:val="270"/>
          <w:marBottom w:val="240"/>
          <w:divBdr>
            <w:top w:val="single" w:sz="6" w:space="8" w:color="D8D8D6"/>
            <w:left w:val="single" w:sz="6" w:space="8" w:color="D8D8D6"/>
            <w:bottom w:val="single" w:sz="6" w:space="8" w:color="D8D8D6"/>
            <w:right w:val="single" w:sz="6" w:space="8" w:color="D8D8D6"/>
          </w:divBdr>
          <w:divsChild>
            <w:div w:id="134613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8440">
      <w:bodyDiv w:val="1"/>
      <w:marLeft w:val="0"/>
      <w:marRight w:val="0"/>
      <w:marTop w:val="0"/>
      <w:marBottom w:val="0"/>
      <w:divBdr>
        <w:top w:val="none" w:sz="0" w:space="0" w:color="auto"/>
        <w:left w:val="none" w:sz="0" w:space="0" w:color="auto"/>
        <w:bottom w:val="none" w:sz="0" w:space="0" w:color="auto"/>
        <w:right w:val="none" w:sz="0" w:space="0" w:color="auto"/>
      </w:divBdr>
      <w:divsChild>
        <w:div w:id="1951547748">
          <w:marLeft w:val="0"/>
          <w:marRight w:val="0"/>
          <w:marTop w:val="270"/>
          <w:marBottom w:val="240"/>
          <w:divBdr>
            <w:top w:val="single" w:sz="6" w:space="8" w:color="D8D8D6"/>
            <w:left w:val="single" w:sz="6" w:space="8" w:color="D8D8D6"/>
            <w:bottom w:val="single" w:sz="6" w:space="8" w:color="D8D8D6"/>
            <w:right w:val="single" w:sz="6" w:space="8" w:color="D8D8D6"/>
          </w:divBdr>
          <w:divsChild>
            <w:div w:id="187095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499335">
      <w:bodyDiv w:val="1"/>
      <w:marLeft w:val="0"/>
      <w:marRight w:val="0"/>
      <w:marTop w:val="0"/>
      <w:marBottom w:val="0"/>
      <w:divBdr>
        <w:top w:val="none" w:sz="0" w:space="0" w:color="auto"/>
        <w:left w:val="none" w:sz="0" w:space="0" w:color="auto"/>
        <w:bottom w:val="none" w:sz="0" w:space="0" w:color="auto"/>
        <w:right w:val="none" w:sz="0" w:space="0" w:color="auto"/>
      </w:divBdr>
      <w:divsChild>
        <w:div w:id="1694499324">
          <w:marLeft w:val="0"/>
          <w:marRight w:val="0"/>
          <w:marTop w:val="270"/>
          <w:marBottom w:val="240"/>
          <w:divBdr>
            <w:top w:val="single" w:sz="6" w:space="8" w:color="D8D8D6"/>
            <w:left w:val="single" w:sz="6" w:space="8" w:color="D8D8D6"/>
            <w:bottom w:val="single" w:sz="6" w:space="8" w:color="D8D8D6"/>
            <w:right w:val="single" w:sz="6" w:space="8" w:color="D8D8D6"/>
          </w:divBdr>
          <w:divsChild>
            <w:div w:id="186771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578942">
      <w:bodyDiv w:val="1"/>
      <w:marLeft w:val="0"/>
      <w:marRight w:val="0"/>
      <w:marTop w:val="0"/>
      <w:marBottom w:val="0"/>
      <w:divBdr>
        <w:top w:val="none" w:sz="0" w:space="0" w:color="auto"/>
        <w:left w:val="none" w:sz="0" w:space="0" w:color="auto"/>
        <w:bottom w:val="none" w:sz="0" w:space="0" w:color="auto"/>
        <w:right w:val="none" w:sz="0" w:space="0" w:color="auto"/>
      </w:divBdr>
      <w:divsChild>
        <w:div w:id="2010405200">
          <w:marLeft w:val="0"/>
          <w:marRight w:val="0"/>
          <w:marTop w:val="270"/>
          <w:marBottom w:val="240"/>
          <w:divBdr>
            <w:top w:val="single" w:sz="6" w:space="8" w:color="D8D8D6"/>
            <w:left w:val="single" w:sz="6" w:space="8" w:color="D8D8D6"/>
            <w:bottom w:val="single" w:sz="6" w:space="8" w:color="D8D8D6"/>
            <w:right w:val="single" w:sz="6" w:space="8" w:color="D8D8D6"/>
          </w:divBdr>
          <w:divsChild>
            <w:div w:id="165794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168</Words>
  <Characters>962</Characters>
  <Application>Microsoft Office Word</Application>
  <DocSecurity>0</DocSecurity>
  <Lines>8</Lines>
  <Paragraphs>2</Paragraphs>
  <ScaleCrop>false</ScaleCrop>
  <Company/>
  <LinksUpToDate>false</LinksUpToDate>
  <CharactersWithSpaces>1128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2</cp:revision>
  <dcterms:created xsi:type="dcterms:W3CDTF">2019-09-30T04:04:00Z</dcterms:created>
  <dcterms:modified xsi:type="dcterms:W3CDTF">2019-09-30T04:04:00Z</dcterms:modified>
</cp:coreProperties>
</file>